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670A7A" w14:textId="5C3DDEED" w:rsidR="007D2A08" w:rsidRDefault="007D2A08" w:rsidP="007D2A0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Name </w:t>
      </w:r>
    </w:p>
    <w:p w14:paraId="4C9E176B" w14:textId="7245D192" w:rsidR="007D2A08" w:rsidRDefault="007D2A08" w:rsidP="007D2A0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14:paraId="75F99AF5" w14:textId="37FF04C7" w:rsidR="008001B7" w:rsidRPr="007D2A08" w:rsidRDefault="00F56122" w:rsidP="007D2A08">
      <w:pPr>
        <w:spacing w:after="0" w:line="480" w:lineRule="auto"/>
        <w:contextualSpacing/>
        <w:jc w:val="center"/>
        <w:rPr>
          <w:rFonts w:ascii="Times New Roman" w:hAnsi="Times New Roman" w:cs="Times New Roman"/>
          <w:sz w:val="24"/>
          <w:szCs w:val="24"/>
        </w:rPr>
      </w:pPr>
      <w:r w:rsidRPr="007D2A08">
        <w:rPr>
          <w:rFonts w:ascii="Times New Roman" w:hAnsi="Times New Roman" w:cs="Times New Roman"/>
          <w:sz w:val="24"/>
          <w:szCs w:val="24"/>
        </w:rPr>
        <w:t>Critical theory in Gender</w:t>
      </w:r>
    </w:p>
    <w:p w14:paraId="45C7339C" w14:textId="464B2291" w:rsidR="007D2A08" w:rsidRPr="007D2A08" w:rsidRDefault="007D2A08" w:rsidP="00A63743">
      <w:pPr>
        <w:spacing w:after="0" w:line="480" w:lineRule="auto"/>
        <w:ind w:firstLine="720"/>
        <w:contextualSpacing/>
        <w:rPr>
          <w:rFonts w:ascii="Times New Roman" w:hAnsi="Times New Roman" w:cs="Times New Roman"/>
          <w:sz w:val="24"/>
          <w:szCs w:val="24"/>
        </w:rPr>
      </w:pPr>
      <w:r w:rsidRPr="007D2A08">
        <w:rPr>
          <w:rFonts w:ascii="Times New Roman" w:hAnsi="Times New Roman" w:cs="Times New Roman"/>
          <w:sz w:val="24"/>
          <w:szCs w:val="24"/>
        </w:rPr>
        <w:t>Gender development has been explained to describe, explain, or even predict the whole aspect. However, the critical theory focuses on directing the attention of gender development to social structures and practices. Society always has a way of giving more privileges, such as the power to specific groups, whereas limiting the same privileges to other groups. In gender development, the critical theory focuses on showing how a particular gender enjoys certain privileges more than the other hence making one a dominant group</w:t>
      </w:r>
      <w:r w:rsidR="00DA39A6">
        <w:rPr>
          <w:rFonts w:ascii="Times New Roman" w:hAnsi="Times New Roman" w:cs="Times New Roman"/>
          <w:sz w:val="24"/>
          <w:szCs w:val="24"/>
        </w:rPr>
        <w:t xml:space="preserve"> (Wood 46)</w:t>
      </w:r>
      <w:r w:rsidRPr="007D2A08">
        <w:rPr>
          <w:rFonts w:ascii="Times New Roman" w:hAnsi="Times New Roman" w:cs="Times New Roman"/>
          <w:sz w:val="24"/>
          <w:szCs w:val="24"/>
        </w:rPr>
        <w:t xml:space="preserve">. Additionally, the theory also shows how oppressed groups end up changing the dominant group's ideologies. I chose the critical theory because it emphasizes how membership to gender identity shapes the experience of different individuals in how they feel as well as how it brings an understanding of social life at large. There is partiality in perspectives concerning social life in standpoint theory, while others have more partiality than others. Political awareness development in power differences in social groups is what creates a standpoint. In standpoint, social location is a regulator of how people carry out their activities, thereby shaping their identity and consciousness. However, it is worth noting that social location is not necessarily the standpoint, but the standpoint can emerge from the group members' social location. The critical theory brings out a more comprehensive understanding of gender development by outlining the social location, standpoint, and the socialization in connecting to gender development. </w:t>
      </w:r>
    </w:p>
    <w:p w14:paraId="0613CACE" w14:textId="77777777" w:rsidR="007D2A08" w:rsidRPr="007D2A08" w:rsidRDefault="007D2A08" w:rsidP="00CD4ACC">
      <w:pPr>
        <w:spacing w:after="0" w:line="480" w:lineRule="auto"/>
        <w:ind w:firstLine="720"/>
        <w:contextualSpacing/>
        <w:rPr>
          <w:rFonts w:ascii="Times New Roman" w:hAnsi="Times New Roman" w:cs="Times New Roman"/>
          <w:sz w:val="24"/>
          <w:szCs w:val="24"/>
        </w:rPr>
      </w:pPr>
      <w:r w:rsidRPr="007D2A08">
        <w:rPr>
          <w:rFonts w:ascii="Times New Roman" w:hAnsi="Times New Roman" w:cs="Times New Roman"/>
          <w:sz w:val="24"/>
          <w:szCs w:val="24"/>
        </w:rPr>
        <w:t xml:space="preserve">Social location influences parenting for both fathers and mothers. There is always a significant assumption that women have a maternal instinct, which means that they naturally nurture children. However, the fact of the matter is that women learn the art of caregiving, such </w:t>
      </w:r>
      <w:r w:rsidRPr="007D2A08">
        <w:rPr>
          <w:rFonts w:ascii="Times New Roman" w:hAnsi="Times New Roman" w:cs="Times New Roman"/>
          <w:sz w:val="24"/>
          <w:szCs w:val="24"/>
        </w:rPr>
        <w:lastRenderedPageBreak/>
        <w:t xml:space="preserve">as compassion and empathy, due to being in the position of caregiving roles. Therefore, from the time a child is born, a female child will predict the opportunities, challenges, threats, and even the societal expectations that they are expected to meet (Leaper, Campbell, and </w:t>
      </w:r>
      <w:proofErr w:type="spellStart"/>
      <w:r w:rsidRPr="007D2A08">
        <w:rPr>
          <w:rFonts w:ascii="Times New Roman" w:hAnsi="Times New Roman" w:cs="Times New Roman"/>
          <w:sz w:val="24"/>
          <w:szCs w:val="24"/>
        </w:rPr>
        <w:t>Timea</w:t>
      </w:r>
      <w:proofErr w:type="spellEnd"/>
      <w:r w:rsidRPr="007D2A08">
        <w:rPr>
          <w:rFonts w:ascii="Times New Roman" w:hAnsi="Times New Roman" w:cs="Times New Roman"/>
          <w:sz w:val="24"/>
          <w:szCs w:val="24"/>
        </w:rPr>
        <w:t xml:space="preserve"> 01). The outcome is influenced by the social location that the female child grows since various locations have different standpoints on the privileges to be given to each gender. Within a certain period, various life encounters help in the creation of ideas about their gender. From the ideas formed, there is an influence on their practice and areas of interest. From the activities, the female child chooses their career line with a mindset that some careers are not fit for them based on their gender. Similarly, as the child grows, the beliefs and motives on gender concepts are transformed due to interactions in a different environment. The media, peers, parents, and teachers are among the major influencers of the concepts developed since they form part of their significant social actions. </w:t>
      </w:r>
    </w:p>
    <w:p w14:paraId="4058003A" w14:textId="47452D47" w:rsidR="007D2A08" w:rsidRPr="007D2A08" w:rsidRDefault="007D2A08" w:rsidP="00CD4ACC">
      <w:pPr>
        <w:spacing w:after="0" w:line="480" w:lineRule="auto"/>
        <w:ind w:firstLine="720"/>
        <w:contextualSpacing/>
        <w:rPr>
          <w:rFonts w:ascii="Times New Roman" w:hAnsi="Times New Roman" w:cs="Times New Roman"/>
          <w:sz w:val="24"/>
          <w:szCs w:val="24"/>
        </w:rPr>
      </w:pPr>
      <w:r w:rsidRPr="007D2A08">
        <w:rPr>
          <w:rFonts w:ascii="Times New Roman" w:hAnsi="Times New Roman" w:cs="Times New Roman"/>
          <w:sz w:val="24"/>
          <w:szCs w:val="24"/>
        </w:rPr>
        <w:t>In my personal experience on gender roles, the social location dictates that women have to look in a certain way. In the critical theory, if women do not meet specific standards, there is a perception that they are ugly, flat-chested, which is body shaming. The perception makes the female gender feel as if their value is worthless. Therefore, there is a close connection in the way women</w:t>
      </w:r>
      <w:r w:rsidR="00A63743">
        <w:rPr>
          <w:rFonts w:ascii="Times New Roman" w:hAnsi="Times New Roman" w:cs="Times New Roman"/>
          <w:sz w:val="24"/>
          <w:szCs w:val="24"/>
        </w:rPr>
        <w:t xml:space="preserve"> are brought up</w:t>
      </w:r>
      <w:r w:rsidRPr="007D2A08">
        <w:rPr>
          <w:rFonts w:ascii="Times New Roman" w:hAnsi="Times New Roman" w:cs="Times New Roman"/>
          <w:sz w:val="24"/>
          <w:szCs w:val="24"/>
        </w:rPr>
        <w:t xml:space="preserve">, since </w:t>
      </w:r>
      <w:r w:rsidR="00A63743">
        <w:rPr>
          <w:rFonts w:ascii="Times New Roman" w:hAnsi="Times New Roman" w:cs="Times New Roman"/>
          <w:sz w:val="24"/>
          <w:szCs w:val="24"/>
        </w:rPr>
        <w:t xml:space="preserve">from </w:t>
      </w:r>
      <w:r w:rsidRPr="007D2A08">
        <w:rPr>
          <w:rFonts w:ascii="Times New Roman" w:hAnsi="Times New Roman" w:cs="Times New Roman"/>
          <w:sz w:val="24"/>
          <w:szCs w:val="24"/>
        </w:rPr>
        <w:t xml:space="preserve">their childhood, </w:t>
      </w:r>
      <w:r w:rsidR="00A63743">
        <w:rPr>
          <w:rFonts w:ascii="Times New Roman" w:hAnsi="Times New Roman" w:cs="Times New Roman"/>
          <w:sz w:val="24"/>
          <w:szCs w:val="24"/>
        </w:rPr>
        <w:t xml:space="preserve">they </w:t>
      </w:r>
      <w:r w:rsidRPr="007D2A08">
        <w:rPr>
          <w:rFonts w:ascii="Times New Roman" w:hAnsi="Times New Roman" w:cs="Times New Roman"/>
          <w:sz w:val="24"/>
          <w:szCs w:val="24"/>
        </w:rPr>
        <w:t>are expected to look in a certain way. The perspective tends to make the female gender a weaker gender</w:t>
      </w:r>
      <w:r w:rsidR="00A63743">
        <w:rPr>
          <w:rFonts w:ascii="Times New Roman" w:hAnsi="Times New Roman" w:cs="Times New Roman"/>
          <w:sz w:val="24"/>
          <w:szCs w:val="24"/>
        </w:rPr>
        <w:t xml:space="preserve"> while the male gender is dominant</w:t>
      </w:r>
      <w:r w:rsidRPr="007D2A08">
        <w:rPr>
          <w:rFonts w:ascii="Times New Roman" w:hAnsi="Times New Roman" w:cs="Times New Roman"/>
          <w:sz w:val="24"/>
          <w:szCs w:val="24"/>
        </w:rPr>
        <w:t xml:space="preserve">. The members of the group are expected to live pleasing the male gender, which is deemed dominant. Therefore, an identity is formed from the concept of social location. The females' upbringing becomes different from the parents since a different expectation is produced from the same. The perception may limit the way of living of a female and may cause other problems as the women strive to live to please others. The example of Victoria Secret is a perfect </w:t>
      </w:r>
      <w:r w:rsidRPr="007D2A08">
        <w:rPr>
          <w:rFonts w:ascii="Times New Roman" w:hAnsi="Times New Roman" w:cs="Times New Roman"/>
          <w:sz w:val="24"/>
          <w:szCs w:val="24"/>
        </w:rPr>
        <w:lastRenderedPageBreak/>
        <w:t xml:space="preserve">example where the show organized to host her fashion work was scrapped due to the public </w:t>
      </w:r>
      <w:r w:rsidR="00087192" w:rsidRPr="007D2A08">
        <w:rPr>
          <w:rFonts w:ascii="Times New Roman" w:hAnsi="Times New Roman" w:cs="Times New Roman"/>
          <w:sz w:val="24"/>
          <w:szCs w:val="24"/>
        </w:rPr>
        <w:t>out roar</w:t>
      </w:r>
      <w:r w:rsidRPr="007D2A08">
        <w:rPr>
          <w:rFonts w:ascii="Times New Roman" w:hAnsi="Times New Roman" w:cs="Times New Roman"/>
          <w:sz w:val="24"/>
          <w:szCs w:val="24"/>
        </w:rPr>
        <w:t xml:space="preserve"> on transphobic and fatphobic issues. The social location is an example of how the female is expected to look like as if they have n</w:t>
      </w:r>
      <w:r w:rsidR="00087192">
        <w:rPr>
          <w:rFonts w:ascii="Times New Roman" w:hAnsi="Times New Roman" w:cs="Times New Roman"/>
          <w:sz w:val="24"/>
          <w:szCs w:val="24"/>
        </w:rPr>
        <w:t>o</w:t>
      </w:r>
      <w:r w:rsidRPr="007D2A08">
        <w:rPr>
          <w:rFonts w:ascii="Times New Roman" w:hAnsi="Times New Roman" w:cs="Times New Roman"/>
          <w:sz w:val="24"/>
          <w:szCs w:val="24"/>
        </w:rPr>
        <w:t xml:space="preserve"> freedom to make personal choices on how to live inclusive of their looks. The struggle was real as I lived comparing myself to other friends who were skinner with admiration to also be like them. However, the problem was not me nor how I looked like but the societal expectation of how I needed to be. Therefore, I can connect my experience to critical theory in the social location concept. </w:t>
      </w:r>
    </w:p>
    <w:p w14:paraId="1FAE344E" w14:textId="6C53ECA4" w:rsidR="007D2A08" w:rsidRPr="007D2A08" w:rsidRDefault="007D2A08" w:rsidP="00CD4ACC">
      <w:pPr>
        <w:spacing w:after="0" w:line="480" w:lineRule="auto"/>
        <w:ind w:firstLine="720"/>
        <w:contextualSpacing/>
        <w:rPr>
          <w:rFonts w:ascii="Times New Roman" w:hAnsi="Times New Roman" w:cs="Times New Roman"/>
          <w:sz w:val="24"/>
          <w:szCs w:val="24"/>
        </w:rPr>
      </w:pPr>
      <w:r w:rsidRPr="007D2A08">
        <w:rPr>
          <w:rFonts w:ascii="Times New Roman" w:hAnsi="Times New Roman" w:cs="Times New Roman"/>
          <w:sz w:val="24"/>
          <w:szCs w:val="24"/>
        </w:rPr>
        <w:t>Gender socialization involves the transmission of values, skills, behaviors, and cultural and societal norms to be a successful man or woman. The transmission is carried out by the parents, peers, or even the media. When it comes to parents, there is a model of attributes reinforced in children to shape them to live in a certain way. The parents also chose the environment in which the children will live in, thus influencing the character or perception to be created in the children (Lawson et al.). The environment also influences the way a child is expected of them regarding their gender.</w:t>
      </w:r>
      <w:r w:rsidR="00087192">
        <w:rPr>
          <w:rFonts w:ascii="Times New Roman" w:hAnsi="Times New Roman" w:cs="Times New Roman"/>
          <w:sz w:val="24"/>
          <w:szCs w:val="24"/>
        </w:rPr>
        <w:t xml:space="preserve"> </w:t>
      </w:r>
      <w:r w:rsidRPr="007D2A08">
        <w:rPr>
          <w:rFonts w:ascii="Times New Roman" w:hAnsi="Times New Roman" w:cs="Times New Roman"/>
          <w:sz w:val="24"/>
          <w:szCs w:val="24"/>
        </w:rPr>
        <w:t>Consequently, gender differences occur in children's development. In my life experience of transition Houston to college, it triggered the long-time struggle of being not sure of my racial grouping. The racial imposter syndrome is</w:t>
      </w:r>
      <w:r w:rsidR="00BE1ED6">
        <w:rPr>
          <w:rFonts w:ascii="Times New Roman" w:hAnsi="Times New Roman" w:cs="Times New Roman"/>
          <w:sz w:val="24"/>
          <w:szCs w:val="24"/>
        </w:rPr>
        <w:t xml:space="preserve"> a</w:t>
      </w:r>
      <w:r w:rsidRPr="007D2A08">
        <w:rPr>
          <w:rFonts w:ascii="Times New Roman" w:hAnsi="Times New Roman" w:cs="Times New Roman"/>
          <w:sz w:val="24"/>
          <w:szCs w:val="24"/>
        </w:rPr>
        <w:t xml:space="preserve"> ma</w:t>
      </w:r>
      <w:r w:rsidR="00BE1ED6">
        <w:rPr>
          <w:rFonts w:ascii="Times New Roman" w:hAnsi="Times New Roman" w:cs="Times New Roman"/>
          <w:sz w:val="24"/>
          <w:szCs w:val="24"/>
        </w:rPr>
        <w:t>jor</w:t>
      </w:r>
      <w:r w:rsidRPr="007D2A08">
        <w:rPr>
          <w:rFonts w:ascii="Times New Roman" w:hAnsi="Times New Roman" w:cs="Times New Roman"/>
          <w:sz w:val="24"/>
          <w:szCs w:val="24"/>
        </w:rPr>
        <w:t xml:space="preserve"> problem that is evident in shaping one's identity. Therefore, being unsure whether I am an Asian or a White is a challenge influencing even my gender development. The reason is that in socialization, there are expectations for both genders. If at any chance, one has an identity crisis when it comes to racial grouping, gender development is also affected. Basically, the socialization is highly at stake since the individuals cannot identify with any social grouping. The feeling of being an outcast was dominant in me since the racial identity was not clear. The parental socialization was deficient since being a female did not augur much on the racial </w:t>
      </w:r>
      <w:r w:rsidRPr="007D2A08">
        <w:rPr>
          <w:rFonts w:ascii="Times New Roman" w:hAnsi="Times New Roman" w:cs="Times New Roman"/>
          <w:sz w:val="24"/>
          <w:szCs w:val="24"/>
        </w:rPr>
        <w:lastRenderedPageBreak/>
        <w:t xml:space="preserve">grouping. The main expectation is how I am supposed to carry myself in the society and not the grouping I belong to. </w:t>
      </w:r>
    </w:p>
    <w:p w14:paraId="79195166" w14:textId="77777777" w:rsidR="007D2A08" w:rsidRPr="007D2A08" w:rsidRDefault="007D2A08" w:rsidP="00BE1ED6">
      <w:pPr>
        <w:spacing w:after="0" w:line="480" w:lineRule="auto"/>
        <w:ind w:firstLine="720"/>
        <w:contextualSpacing/>
        <w:rPr>
          <w:rFonts w:ascii="Times New Roman" w:hAnsi="Times New Roman" w:cs="Times New Roman"/>
          <w:sz w:val="24"/>
          <w:szCs w:val="24"/>
        </w:rPr>
      </w:pPr>
      <w:r w:rsidRPr="007D2A08">
        <w:rPr>
          <w:rFonts w:ascii="Times New Roman" w:hAnsi="Times New Roman" w:cs="Times New Roman"/>
          <w:sz w:val="24"/>
          <w:szCs w:val="24"/>
        </w:rPr>
        <w:t xml:space="preserve">Gender identity being, therefore, a basic way of personal identity that plays a crucial role in the overall life of an individual starting from childhood to adulthood. There are very many expressions of gender development in people in all their societal settings. The social context has been effective in shaping my behavior in how, in my way of doing things, there is self-consciousness and awareness that I can reason without using the stereotypes put in place around me. Therefore, there are deliberations before taking any step towards decision making where gender stereotypes do not influence the decision. According to How (2017, 6), every man has the power of self-determination and self-realization. This means that every individual has a potential understanding of actualizing their hidden ability in life following reasoning notions. Therefore, my perspective has changed to understand that I can handle situations regardless of my gender without fear of failure. I can comfortably use reason to determine how to live my life since there is the freedom to do so. </w:t>
      </w:r>
    </w:p>
    <w:p w14:paraId="29916DB0" w14:textId="6641CD05" w:rsidR="00F56122" w:rsidRPr="007D2A08" w:rsidRDefault="007D2A08" w:rsidP="00BE1ED6">
      <w:pPr>
        <w:spacing w:after="0" w:line="480" w:lineRule="auto"/>
        <w:ind w:firstLine="720"/>
        <w:contextualSpacing/>
        <w:rPr>
          <w:rFonts w:ascii="Times New Roman" w:hAnsi="Times New Roman" w:cs="Times New Roman"/>
          <w:color w:val="222222"/>
          <w:sz w:val="24"/>
          <w:szCs w:val="24"/>
          <w:shd w:val="clear" w:color="auto" w:fill="FFFFFF"/>
        </w:rPr>
      </w:pPr>
      <w:r w:rsidRPr="007D2A08">
        <w:rPr>
          <w:rFonts w:ascii="Times New Roman" w:hAnsi="Times New Roman" w:cs="Times New Roman"/>
          <w:sz w:val="24"/>
          <w:szCs w:val="24"/>
        </w:rPr>
        <w:t xml:space="preserve">In conclusion, therefore, the critical theory brings a wider scope of gender development and perspectives. The parent's gender role has a major influence on how the children socialize based on their gender identity. Similarly, parents who portray traditional attributes in instilling gender-based roles raise the expectations of their sons and daughters. The instilling of the various values and skills based on gender plays a role in stereotyping. For instance, the sons are forced to behave masculine, leading to internalizing children's expectations and attitudes. However, I also tend to believe that the environment's aspect in determining gender development should not be fully relied upon in explaining gender practices. The reason is that there are biological factors that influence gene formation as well as brain development. Other </w:t>
      </w:r>
      <w:r w:rsidRPr="007D2A08">
        <w:rPr>
          <w:rFonts w:ascii="Times New Roman" w:hAnsi="Times New Roman" w:cs="Times New Roman"/>
          <w:sz w:val="24"/>
          <w:szCs w:val="24"/>
        </w:rPr>
        <w:lastRenderedPageBreak/>
        <w:t>determinants are the cultural theories that explain the development based on the cultural practices in the societal setting.</w:t>
      </w:r>
      <w:r w:rsidR="00BE1ED6">
        <w:rPr>
          <w:rFonts w:ascii="Times New Roman" w:hAnsi="Times New Roman" w:cs="Times New Roman"/>
          <w:sz w:val="24"/>
          <w:szCs w:val="24"/>
        </w:rPr>
        <w:t xml:space="preserve"> Therefore</w:t>
      </w:r>
      <w:r w:rsidR="006F068C">
        <w:rPr>
          <w:rFonts w:ascii="Times New Roman" w:hAnsi="Times New Roman" w:cs="Times New Roman"/>
          <w:sz w:val="24"/>
          <w:szCs w:val="24"/>
        </w:rPr>
        <w:t>,</w:t>
      </w:r>
      <w:r w:rsidR="00BE1ED6">
        <w:rPr>
          <w:rFonts w:ascii="Times New Roman" w:hAnsi="Times New Roman" w:cs="Times New Roman"/>
          <w:sz w:val="24"/>
          <w:szCs w:val="24"/>
        </w:rPr>
        <w:t xml:space="preserve"> critical theory</w:t>
      </w:r>
      <w:r w:rsidR="006F068C">
        <w:rPr>
          <w:rFonts w:ascii="Times New Roman" w:hAnsi="Times New Roman" w:cs="Times New Roman"/>
          <w:sz w:val="24"/>
          <w:szCs w:val="24"/>
        </w:rPr>
        <w:t xml:space="preserve"> arguments</w:t>
      </w:r>
      <w:r w:rsidR="00BE1ED6">
        <w:rPr>
          <w:rFonts w:ascii="Times New Roman" w:hAnsi="Times New Roman" w:cs="Times New Roman"/>
          <w:sz w:val="24"/>
          <w:szCs w:val="24"/>
        </w:rPr>
        <w:t xml:space="preserve"> cannot be the only factor influencing gender development. </w:t>
      </w:r>
    </w:p>
    <w:p w14:paraId="433FB7AB" w14:textId="5C177157" w:rsidR="00726CD3" w:rsidRPr="007D2A08" w:rsidRDefault="00726CD3" w:rsidP="007D2A08">
      <w:pPr>
        <w:spacing w:after="0" w:line="480" w:lineRule="auto"/>
        <w:contextualSpacing/>
        <w:rPr>
          <w:rFonts w:ascii="Times New Roman" w:hAnsi="Times New Roman" w:cs="Times New Roman"/>
          <w:color w:val="222222"/>
          <w:sz w:val="24"/>
          <w:szCs w:val="24"/>
          <w:shd w:val="clear" w:color="auto" w:fill="FFFFFF"/>
        </w:rPr>
      </w:pPr>
    </w:p>
    <w:p w14:paraId="0A63FC5D" w14:textId="38D52286" w:rsidR="007D2A08" w:rsidRPr="007D2A08" w:rsidRDefault="007D2A08" w:rsidP="007D2A08">
      <w:pPr>
        <w:spacing w:after="0" w:line="480" w:lineRule="auto"/>
        <w:contextualSpacing/>
        <w:rPr>
          <w:rFonts w:ascii="Times New Roman" w:hAnsi="Times New Roman" w:cs="Times New Roman"/>
          <w:color w:val="222222"/>
          <w:sz w:val="24"/>
          <w:szCs w:val="24"/>
          <w:shd w:val="clear" w:color="auto" w:fill="FFFFFF"/>
        </w:rPr>
      </w:pPr>
    </w:p>
    <w:p w14:paraId="639A44FF" w14:textId="3055CE11" w:rsidR="007D2A08" w:rsidRPr="007D2A08" w:rsidRDefault="007D2A08" w:rsidP="007D2A08">
      <w:pPr>
        <w:spacing w:after="0" w:line="480" w:lineRule="auto"/>
        <w:contextualSpacing/>
        <w:rPr>
          <w:rFonts w:ascii="Times New Roman" w:hAnsi="Times New Roman" w:cs="Times New Roman"/>
          <w:color w:val="222222"/>
          <w:sz w:val="24"/>
          <w:szCs w:val="24"/>
          <w:shd w:val="clear" w:color="auto" w:fill="FFFFFF"/>
        </w:rPr>
      </w:pPr>
    </w:p>
    <w:p w14:paraId="66CF3D70" w14:textId="3774D4AB" w:rsidR="007D2A08" w:rsidRPr="007D2A08" w:rsidRDefault="007D2A08" w:rsidP="007D2A08">
      <w:pPr>
        <w:spacing w:after="0" w:line="480" w:lineRule="auto"/>
        <w:contextualSpacing/>
        <w:rPr>
          <w:rFonts w:ascii="Times New Roman" w:hAnsi="Times New Roman" w:cs="Times New Roman"/>
          <w:color w:val="222222"/>
          <w:sz w:val="24"/>
          <w:szCs w:val="24"/>
          <w:shd w:val="clear" w:color="auto" w:fill="FFFFFF"/>
        </w:rPr>
      </w:pPr>
    </w:p>
    <w:p w14:paraId="180F7BF1" w14:textId="25127B88" w:rsidR="007D2A08" w:rsidRPr="007D2A08" w:rsidRDefault="007D2A08" w:rsidP="007D2A08">
      <w:pPr>
        <w:spacing w:after="0" w:line="480" w:lineRule="auto"/>
        <w:contextualSpacing/>
        <w:rPr>
          <w:rFonts w:ascii="Times New Roman" w:hAnsi="Times New Roman" w:cs="Times New Roman"/>
          <w:color w:val="222222"/>
          <w:sz w:val="24"/>
          <w:szCs w:val="24"/>
          <w:shd w:val="clear" w:color="auto" w:fill="FFFFFF"/>
        </w:rPr>
      </w:pPr>
    </w:p>
    <w:p w14:paraId="5119E5F9" w14:textId="69986BEE" w:rsidR="007D2A08" w:rsidRPr="007D2A08" w:rsidRDefault="007D2A08" w:rsidP="007D2A08">
      <w:pPr>
        <w:spacing w:after="0" w:line="480" w:lineRule="auto"/>
        <w:contextualSpacing/>
        <w:rPr>
          <w:rFonts w:ascii="Times New Roman" w:hAnsi="Times New Roman" w:cs="Times New Roman"/>
          <w:color w:val="222222"/>
          <w:sz w:val="24"/>
          <w:szCs w:val="24"/>
          <w:shd w:val="clear" w:color="auto" w:fill="FFFFFF"/>
        </w:rPr>
      </w:pPr>
    </w:p>
    <w:p w14:paraId="17716793" w14:textId="749F2B45" w:rsidR="007D2A08" w:rsidRPr="007D2A08" w:rsidRDefault="007D2A08" w:rsidP="007D2A08">
      <w:pPr>
        <w:spacing w:after="0" w:line="480" w:lineRule="auto"/>
        <w:contextualSpacing/>
        <w:rPr>
          <w:rFonts w:ascii="Times New Roman" w:hAnsi="Times New Roman" w:cs="Times New Roman"/>
          <w:color w:val="222222"/>
          <w:sz w:val="24"/>
          <w:szCs w:val="24"/>
          <w:shd w:val="clear" w:color="auto" w:fill="FFFFFF"/>
        </w:rPr>
      </w:pPr>
    </w:p>
    <w:p w14:paraId="194BF11A" w14:textId="116D2FD1" w:rsidR="007D2A08" w:rsidRPr="007D2A08" w:rsidRDefault="007D2A08" w:rsidP="007D2A08">
      <w:pPr>
        <w:spacing w:after="0" w:line="480" w:lineRule="auto"/>
        <w:contextualSpacing/>
        <w:rPr>
          <w:rFonts w:ascii="Times New Roman" w:hAnsi="Times New Roman" w:cs="Times New Roman"/>
          <w:color w:val="222222"/>
          <w:sz w:val="24"/>
          <w:szCs w:val="24"/>
          <w:shd w:val="clear" w:color="auto" w:fill="FFFFFF"/>
        </w:rPr>
      </w:pPr>
    </w:p>
    <w:p w14:paraId="24D00F56" w14:textId="5CE928BD" w:rsidR="007D2A08" w:rsidRPr="007D2A08" w:rsidRDefault="007D2A08" w:rsidP="007D2A08">
      <w:pPr>
        <w:spacing w:after="0" w:line="480" w:lineRule="auto"/>
        <w:contextualSpacing/>
        <w:rPr>
          <w:rFonts w:ascii="Times New Roman" w:hAnsi="Times New Roman" w:cs="Times New Roman"/>
          <w:color w:val="222222"/>
          <w:sz w:val="24"/>
          <w:szCs w:val="24"/>
          <w:shd w:val="clear" w:color="auto" w:fill="FFFFFF"/>
        </w:rPr>
      </w:pPr>
    </w:p>
    <w:p w14:paraId="77CCB3F9" w14:textId="03214515" w:rsidR="007D2A08" w:rsidRPr="007D2A08" w:rsidRDefault="007D2A08" w:rsidP="007D2A08">
      <w:pPr>
        <w:spacing w:after="0" w:line="480" w:lineRule="auto"/>
        <w:contextualSpacing/>
        <w:rPr>
          <w:rFonts w:ascii="Times New Roman" w:hAnsi="Times New Roman" w:cs="Times New Roman"/>
          <w:color w:val="222222"/>
          <w:sz w:val="24"/>
          <w:szCs w:val="24"/>
          <w:shd w:val="clear" w:color="auto" w:fill="FFFFFF"/>
        </w:rPr>
      </w:pPr>
    </w:p>
    <w:p w14:paraId="2E63E037" w14:textId="489D708E" w:rsidR="007D2A08" w:rsidRPr="007D2A08" w:rsidRDefault="007D2A08" w:rsidP="007D2A08">
      <w:pPr>
        <w:spacing w:after="0" w:line="480" w:lineRule="auto"/>
        <w:contextualSpacing/>
        <w:rPr>
          <w:rFonts w:ascii="Times New Roman" w:hAnsi="Times New Roman" w:cs="Times New Roman"/>
          <w:color w:val="222222"/>
          <w:sz w:val="24"/>
          <w:szCs w:val="24"/>
          <w:shd w:val="clear" w:color="auto" w:fill="FFFFFF"/>
        </w:rPr>
      </w:pPr>
    </w:p>
    <w:p w14:paraId="5AF3C882" w14:textId="556003A9" w:rsidR="007D2A08" w:rsidRPr="007D2A08" w:rsidRDefault="007D2A08" w:rsidP="007D2A08">
      <w:pPr>
        <w:spacing w:after="0" w:line="480" w:lineRule="auto"/>
        <w:contextualSpacing/>
        <w:rPr>
          <w:rFonts w:ascii="Times New Roman" w:hAnsi="Times New Roman" w:cs="Times New Roman"/>
          <w:color w:val="222222"/>
          <w:sz w:val="24"/>
          <w:szCs w:val="24"/>
          <w:shd w:val="clear" w:color="auto" w:fill="FFFFFF"/>
        </w:rPr>
      </w:pPr>
    </w:p>
    <w:p w14:paraId="5F793B77" w14:textId="48EB329A" w:rsidR="007D2A08" w:rsidRPr="007D2A08" w:rsidRDefault="007D2A08" w:rsidP="007D2A08">
      <w:pPr>
        <w:spacing w:after="0" w:line="480" w:lineRule="auto"/>
        <w:contextualSpacing/>
        <w:rPr>
          <w:rFonts w:ascii="Times New Roman" w:hAnsi="Times New Roman" w:cs="Times New Roman"/>
          <w:color w:val="222222"/>
          <w:sz w:val="24"/>
          <w:szCs w:val="24"/>
          <w:shd w:val="clear" w:color="auto" w:fill="FFFFFF"/>
        </w:rPr>
      </w:pPr>
    </w:p>
    <w:p w14:paraId="020106C8" w14:textId="7C6DC90C" w:rsidR="007D2A08" w:rsidRPr="007D2A08" w:rsidRDefault="007D2A08" w:rsidP="007D2A08">
      <w:pPr>
        <w:spacing w:after="0" w:line="480" w:lineRule="auto"/>
        <w:contextualSpacing/>
        <w:rPr>
          <w:rFonts w:ascii="Times New Roman" w:hAnsi="Times New Roman" w:cs="Times New Roman"/>
          <w:color w:val="222222"/>
          <w:sz w:val="24"/>
          <w:szCs w:val="24"/>
          <w:shd w:val="clear" w:color="auto" w:fill="FFFFFF"/>
        </w:rPr>
      </w:pPr>
    </w:p>
    <w:p w14:paraId="1AC6B984" w14:textId="54C7B393" w:rsidR="007D2A08" w:rsidRPr="007D2A08" w:rsidRDefault="007D2A08" w:rsidP="007D2A08">
      <w:pPr>
        <w:spacing w:after="0" w:line="480" w:lineRule="auto"/>
        <w:contextualSpacing/>
        <w:rPr>
          <w:rFonts w:ascii="Times New Roman" w:hAnsi="Times New Roman" w:cs="Times New Roman"/>
          <w:color w:val="222222"/>
          <w:sz w:val="24"/>
          <w:szCs w:val="24"/>
          <w:shd w:val="clear" w:color="auto" w:fill="FFFFFF"/>
        </w:rPr>
      </w:pPr>
    </w:p>
    <w:p w14:paraId="0C40F834" w14:textId="337EA8A6" w:rsidR="007D2A08" w:rsidRPr="007D2A08" w:rsidRDefault="007D2A08" w:rsidP="007D2A08">
      <w:pPr>
        <w:spacing w:after="0" w:line="480" w:lineRule="auto"/>
        <w:contextualSpacing/>
        <w:rPr>
          <w:rFonts w:ascii="Times New Roman" w:hAnsi="Times New Roman" w:cs="Times New Roman"/>
          <w:color w:val="222222"/>
          <w:sz w:val="24"/>
          <w:szCs w:val="24"/>
          <w:shd w:val="clear" w:color="auto" w:fill="FFFFFF"/>
        </w:rPr>
      </w:pPr>
    </w:p>
    <w:p w14:paraId="1D18C644" w14:textId="5A7AF000" w:rsidR="007D2A08" w:rsidRPr="007D2A08" w:rsidRDefault="007D2A08" w:rsidP="007D2A08">
      <w:pPr>
        <w:spacing w:after="0" w:line="480" w:lineRule="auto"/>
        <w:contextualSpacing/>
        <w:rPr>
          <w:rFonts w:ascii="Times New Roman" w:hAnsi="Times New Roman" w:cs="Times New Roman"/>
          <w:color w:val="222222"/>
          <w:sz w:val="24"/>
          <w:szCs w:val="24"/>
          <w:shd w:val="clear" w:color="auto" w:fill="FFFFFF"/>
        </w:rPr>
      </w:pPr>
    </w:p>
    <w:p w14:paraId="39560CE9" w14:textId="353A297A" w:rsidR="007D2A08" w:rsidRPr="007D2A08" w:rsidRDefault="007D2A08" w:rsidP="007D2A08">
      <w:pPr>
        <w:spacing w:after="0" w:line="480" w:lineRule="auto"/>
        <w:contextualSpacing/>
        <w:rPr>
          <w:rFonts w:ascii="Times New Roman" w:hAnsi="Times New Roman" w:cs="Times New Roman"/>
          <w:color w:val="222222"/>
          <w:sz w:val="24"/>
          <w:szCs w:val="24"/>
          <w:shd w:val="clear" w:color="auto" w:fill="FFFFFF"/>
        </w:rPr>
      </w:pPr>
    </w:p>
    <w:p w14:paraId="1355F734" w14:textId="63F93D1C" w:rsidR="007D2A08" w:rsidRPr="007D2A08" w:rsidRDefault="007D2A08" w:rsidP="007D2A08">
      <w:pPr>
        <w:spacing w:after="0" w:line="480" w:lineRule="auto"/>
        <w:contextualSpacing/>
        <w:rPr>
          <w:rFonts w:ascii="Times New Roman" w:hAnsi="Times New Roman" w:cs="Times New Roman"/>
          <w:color w:val="222222"/>
          <w:sz w:val="24"/>
          <w:szCs w:val="24"/>
          <w:shd w:val="clear" w:color="auto" w:fill="FFFFFF"/>
        </w:rPr>
      </w:pPr>
    </w:p>
    <w:p w14:paraId="300BFA6D" w14:textId="4640B907" w:rsidR="006B3BF7" w:rsidRDefault="006B3BF7" w:rsidP="007D2A08">
      <w:pPr>
        <w:spacing w:after="0" w:line="480" w:lineRule="auto"/>
        <w:contextualSpacing/>
        <w:rPr>
          <w:rFonts w:ascii="Times New Roman" w:hAnsi="Times New Roman" w:cs="Times New Roman"/>
          <w:color w:val="222222"/>
          <w:sz w:val="24"/>
          <w:szCs w:val="24"/>
          <w:shd w:val="clear" w:color="auto" w:fill="FFFFFF"/>
        </w:rPr>
      </w:pPr>
    </w:p>
    <w:p w14:paraId="60043EDC" w14:textId="795E9D00" w:rsidR="006B3BF7" w:rsidRDefault="006B3BF7" w:rsidP="006B3BF7">
      <w:pPr>
        <w:tabs>
          <w:tab w:val="left" w:pos="3238"/>
          <w:tab w:val="center" w:pos="4680"/>
        </w:tabs>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ab/>
      </w:r>
      <w:r>
        <w:rPr>
          <w:rFonts w:ascii="Times New Roman" w:hAnsi="Times New Roman" w:cs="Times New Roman"/>
          <w:color w:val="222222"/>
          <w:sz w:val="24"/>
          <w:szCs w:val="24"/>
          <w:shd w:val="clear" w:color="auto" w:fill="FFFFFF"/>
        </w:rPr>
        <w:tab/>
        <w:t>Works Cited</w:t>
      </w:r>
    </w:p>
    <w:p w14:paraId="0E06F5C2" w14:textId="5692FD17" w:rsidR="00726CD3" w:rsidRPr="00CD4ACC" w:rsidRDefault="00726CD3" w:rsidP="00CD4ACC">
      <w:pPr>
        <w:spacing w:after="0" w:line="480" w:lineRule="auto"/>
        <w:ind w:left="720" w:hanging="720"/>
        <w:contextualSpacing/>
        <w:rPr>
          <w:rFonts w:ascii="Times New Roman" w:hAnsi="Times New Roman" w:cs="Times New Roman"/>
          <w:color w:val="222222"/>
          <w:sz w:val="24"/>
          <w:szCs w:val="24"/>
          <w:shd w:val="clear" w:color="auto" w:fill="FFFFFF"/>
        </w:rPr>
      </w:pPr>
      <w:r w:rsidRPr="00CD4ACC">
        <w:rPr>
          <w:rFonts w:ascii="Times New Roman" w:hAnsi="Times New Roman" w:cs="Times New Roman"/>
          <w:color w:val="222222"/>
          <w:sz w:val="24"/>
          <w:szCs w:val="24"/>
          <w:shd w:val="clear" w:color="auto" w:fill="FFFFFF"/>
        </w:rPr>
        <w:t xml:space="preserve">Leaper, Campbell, and </w:t>
      </w:r>
      <w:proofErr w:type="spellStart"/>
      <w:r w:rsidRPr="00CD4ACC">
        <w:rPr>
          <w:rFonts w:ascii="Times New Roman" w:hAnsi="Times New Roman" w:cs="Times New Roman"/>
          <w:color w:val="222222"/>
          <w:sz w:val="24"/>
          <w:szCs w:val="24"/>
          <w:shd w:val="clear" w:color="auto" w:fill="FFFFFF"/>
        </w:rPr>
        <w:t>Timea</w:t>
      </w:r>
      <w:proofErr w:type="spellEnd"/>
      <w:r w:rsidRPr="00CD4ACC">
        <w:rPr>
          <w:rFonts w:ascii="Times New Roman" w:hAnsi="Times New Roman" w:cs="Times New Roman"/>
          <w:color w:val="222222"/>
          <w:sz w:val="24"/>
          <w:szCs w:val="24"/>
          <w:shd w:val="clear" w:color="auto" w:fill="FFFFFF"/>
        </w:rPr>
        <w:t xml:space="preserve"> Farkas. "The socialization of gender during childhood and adolescence." (2015).</w:t>
      </w:r>
    </w:p>
    <w:p w14:paraId="57DF3341" w14:textId="4B5136D8" w:rsidR="00365F6D" w:rsidRPr="00CD4ACC" w:rsidRDefault="00365F6D" w:rsidP="00CD4ACC">
      <w:pPr>
        <w:spacing w:after="0" w:line="480" w:lineRule="auto"/>
        <w:ind w:left="720" w:hanging="720"/>
        <w:contextualSpacing/>
        <w:rPr>
          <w:rFonts w:ascii="Times New Roman" w:hAnsi="Times New Roman" w:cs="Times New Roman"/>
          <w:color w:val="222222"/>
          <w:sz w:val="24"/>
          <w:szCs w:val="24"/>
          <w:shd w:val="clear" w:color="auto" w:fill="FFFFFF"/>
        </w:rPr>
      </w:pPr>
      <w:r w:rsidRPr="00CD4ACC">
        <w:rPr>
          <w:rFonts w:ascii="Times New Roman" w:hAnsi="Times New Roman" w:cs="Times New Roman"/>
          <w:color w:val="222222"/>
          <w:sz w:val="24"/>
          <w:szCs w:val="24"/>
          <w:shd w:val="clear" w:color="auto" w:fill="FFFFFF"/>
        </w:rPr>
        <w:t xml:space="preserve">Lawson, Katie M., Ann C. </w:t>
      </w:r>
      <w:proofErr w:type="spellStart"/>
      <w:r w:rsidRPr="00CD4ACC">
        <w:rPr>
          <w:rFonts w:ascii="Times New Roman" w:hAnsi="Times New Roman" w:cs="Times New Roman"/>
          <w:color w:val="222222"/>
          <w:sz w:val="24"/>
          <w:szCs w:val="24"/>
          <w:shd w:val="clear" w:color="auto" w:fill="FFFFFF"/>
        </w:rPr>
        <w:t>Crouter</w:t>
      </w:r>
      <w:proofErr w:type="spellEnd"/>
      <w:r w:rsidRPr="00CD4ACC">
        <w:rPr>
          <w:rFonts w:ascii="Times New Roman" w:hAnsi="Times New Roman" w:cs="Times New Roman"/>
          <w:color w:val="222222"/>
          <w:sz w:val="24"/>
          <w:szCs w:val="24"/>
          <w:shd w:val="clear" w:color="auto" w:fill="FFFFFF"/>
        </w:rPr>
        <w:t>, and Susan M. McHale. "Links between family gender socialization experiences in childhood and gendered occupational attainment in young adulthood." </w:t>
      </w:r>
      <w:r w:rsidRPr="00CD4ACC">
        <w:rPr>
          <w:rFonts w:ascii="Times New Roman" w:hAnsi="Times New Roman" w:cs="Times New Roman"/>
          <w:i/>
          <w:iCs/>
          <w:color w:val="222222"/>
          <w:sz w:val="24"/>
          <w:szCs w:val="24"/>
          <w:shd w:val="clear" w:color="auto" w:fill="FFFFFF"/>
        </w:rPr>
        <w:t>Journal of vocational behavior</w:t>
      </w:r>
      <w:r w:rsidRPr="00CD4ACC">
        <w:rPr>
          <w:rFonts w:ascii="Times New Roman" w:hAnsi="Times New Roman" w:cs="Times New Roman"/>
          <w:color w:val="222222"/>
          <w:sz w:val="24"/>
          <w:szCs w:val="24"/>
          <w:shd w:val="clear" w:color="auto" w:fill="FFFFFF"/>
        </w:rPr>
        <w:t> 90 (2015): 26-35.</w:t>
      </w:r>
    </w:p>
    <w:p w14:paraId="05B1D93C" w14:textId="5068F87A" w:rsidR="003D1AD6" w:rsidRPr="00CD4ACC" w:rsidRDefault="003D1AD6" w:rsidP="00CD4ACC">
      <w:pPr>
        <w:spacing w:after="0" w:line="480" w:lineRule="auto"/>
        <w:ind w:left="720" w:hanging="720"/>
        <w:contextualSpacing/>
        <w:rPr>
          <w:rFonts w:ascii="Times New Roman" w:hAnsi="Times New Roman" w:cs="Times New Roman"/>
          <w:color w:val="222222"/>
          <w:sz w:val="24"/>
          <w:szCs w:val="24"/>
          <w:shd w:val="clear" w:color="auto" w:fill="FFFFFF"/>
        </w:rPr>
      </w:pPr>
      <w:r w:rsidRPr="00CD4ACC">
        <w:rPr>
          <w:rFonts w:ascii="Times New Roman" w:hAnsi="Times New Roman" w:cs="Times New Roman"/>
          <w:color w:val="222222"/>
          <w:sz w:val="24"/>
          <w:szCs w:val="24"/>
          <w:shd w:val="clear" w:color="auto" w:fill="FFFFFF"/>
        </w:rPr>
        <w:t>How, Alan. </w:t>
      </w:r>
      <w:r w:rsidRPr="00CD4ACC">
        <w:rPr>
          <w:rFonts w:ascii="Times New Roman" w:hAnsi="Times New Roman" w:cs="Times New Roman"/>
          <w:i/>
          <w:iCs/>
          <w:color w:val="222222"/>
          <w:sz w:val="24"/>
          <w:szCs w:val="24"/>
          <w:shd w:val="clear" w:color="auto" w:fill="FFFFFF"/>
        </w:rPr>
        <w:t>Critical theory</w:t>
      </w:r>
      <w:r w:rsidRPr="00CD4ACC">
        <w:rPr>
          <w:rFonts w:ascii="Times New Roman" w:hAnsi="Times New Roman" w:cs="Times New Roman"/>
          <w:color w:val="222222"/>
          <w:sz w:val="24"/>
          <w:szCs w:val="24"/>
          <w:shd w:val="clear" w:color="auto" w:fill="FFFFFF"/>
        </w:rPr>
        <w:t>. Macmillan International Higher Education, 2017.</w:t>
      </w:r>
    </w:p>
    <w:p w14:paraId="661143AC" w14:textId="28A38139" w:rsidR="00DA39A6" w:rsidRPr="00CD4ACC" w:rsidRDefault="00DA39A6" w:rsidP="00CD4ACC">
      <w:pPr>
        <w:spacing w:after="0" w:line="480" w:lineRule="auto"/>
        <w:ind w:left="720" w:hanging="720"/>
        <w:contextualSpacing/>
        <w:rPr>
          <w:rFonts w:ascii="Times New Roman" w:hAnsi="Times New Roman" w:cs="Times New Roman"/>
          <w:sz w:val="24"/>
          <w:szCs w:val="24"/>
        </w:rPr>
      </w:pPr>
      <w:r w:rsidRPr="00CD4ACC">
        <w:rPr>
          <w:rFonts w:ascii="Times New Roman" w:hAnsi="Times New Roman" w:cs="Times New Roman"/>
          <w:color w:val="222222"/>
          <w:sz w:val="24"/>
          <w:szCs w:val="24"/>
          <w:shd w:val="clear" w:color="auto" w:fill="FFFFFF"/>
        </w:rPr>
        <w:t xml:space="preserve">Wood, Julia T. "Gendered Lives: Communication, </w:t>
      </w:r>
      <w:proofErr w:type="spellStart"/>
      <w:r w:rsidRPr="00CD4ACC">
        <w:rPr>
          <w:rFonts w:ascii="Times New Roman" w:hAnsi="Times New Roman" w:cs="Times New Roman"/>
          <w:color w:val="222222"/>
          <w:sz w:val="24"/>
          <w:szCs w:val="24"/>
          <w:shd w:val="clear" w:color="auto" w:fill="FFFFFF"/>
        </w:rPr>
        <w:t>Genderand</w:t>
      </w:r>
      <w:proofErr w:type="spellEnd"/>
      <w:r w:rsidRPr="00CD4ACC">
        <w:rPr>
          <w:rFonts w:ascii="Times New Roman" w:hAnsi="Times New Roman" w:cs="Times New Roman"/>
          <w:color w:val="222222"/>
          <w:sz w:val="24"/>
          <w:szCs w:val="24"/>
          <w:shd w:val="clear" w:color="auto" w:fill="FFFFFF"/>
        </w:rPr>
        <w:t xml:space="preserve"> Culture." </w:t>
      </w:r>
      <w:r w:rsidRPr="00CD4ACC">
        <w:rPr>
          <w:rFonts w:ascii="Times New Roman" w:hAnsi="Times New Roman" w:cs="Times New Roman"/>
          <w:i/>
          <w:iCs/>
          <w:color w:val="222222"/>
          <w:sz w:val="24"/>
          <w:szCs w:val="24"/>
          <w:shd w:val="clear" w:color="auto" w:fill="FFFFFF"/>
        </w:rPr>
        <w:t xml:space="preserve">Boston, MA: Wadsworth </w:t>
      </w:r>
      <w:proofErr w:type="spellStart"/>
      <w:r w:rsidRPr="00CD4ACC">
        <w:rPr>
          <w:rFonts w:ascii="Times New Roman" w:hAnsi="Times New Roman" w:cs="Times New Roman"/>
          <w:i/>
          <w:iCs/>
          <w:color w:val="222222"/>
          <w:sz w:val="24"/>
          <w:szCs w:val="24"/>
          <w:shd w:val="clear" w:color="auto" w:fill="FFFFFF"/>
        </w:rPr>
        <w:t>Cenage</w:t>
      </w:r>
      <w:proofErr w:type="spellEnd"/>
      <w:r w:rsidRPr="00CD4ACC">
        <w:rPr>
          <w:rFonts w:ascii="Times New Roman" w:hAnsi="Times New Roman" w:cs="Times New Roman"/>
          <w:i/>
          <w:iCs/>
          <w:color w:val="222222"/>
          <w:sz w:val="24"/>
          <w:szCs w:val="24"/>
          <w:shd w:val="clear" w:color="auto" w:fill="FFFFFF"/>
        </w:rPr>
        <w:t xml:space="preserve"> Learning</w:t>
      </w:r>
      <w:r w:rsidRPr="00CD4ACC">
        <w:rPr>
          <w:rFonts w:ascii="Times New Roman" w:hAnsi="Times New Roman" w:cs="Times New Roman"/>
          <w:color w:val="222222"/>
          <w:sz w:val="24"/>
          <w:szCs w:val="24"/>
          <w:shd w:val="clear" w:color="auto" w:fill="FFFFFF"/>
        </w:rPr>
        <w:t> (201</w:t>
      </w:r>
      <w:r w:rsidRPr="00CD4ACC">
        <w:rPr>
          <w:rFonts w:ascii="Times New Roman" w:hAnsi="Times New Roman" w:cs="Times New Roman"/>
          <w:color w:val="222222"/>
          <w:sz w:val="24"/>
          <w:szCs w:val="24"/>
          <w:shd w:val="clear" w:color="auto" w:fill="FFFFFF"/>
        </w:rPr>
        <w:t>9</w:t>
      </w:r>
      <w:r w:rsidRPr="00CD4ACC">
        <w:rPr>
          <w:rFonts w:ascii="Times New Roman" w:hAnsi="Times New Roman" w:cs="Times New Roman"/>
          <w:color w:val="222222"/>
          <w:sz w:val="24"/>
          <w:szCs w:val="24"/>
          <w:shd w:val="clear" w:color="auto" w:fill="FFFFFF"/>
        </w:rPr>
        <w:t>).</w:t>
      </w:r>
    </w:p>
    <w:sectPr w:rsidR="00DA39A6" w:rsidRPr="00CD4AC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F918BA" w14:textId="77777777" w:rsidR="00095A8B" w:rsidRDefault="00095A8B" w:rsidP="007D2A08">
      <w:pPr>
        <w:spacing w:after="0" w:line="240" w:lineRule="auto"/>
      </w:pPr>
      <w:r>
        <w:separator/>
      </w:r>
    </w:p>
  </w:endnote>
  <w:endnote w:type="continuationSeparator" w:id="0">
    <w:p w14:paraId="6BA7947E" w14:textId="77777777" w:rsidR="00095A8B" w:rsidRDefault="00095A8B" w:rsidP="007D2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87B173" w14:textId="77777777" w:rsidR="00095A8B" w:rsidRDefault="00095A8B" w:rsidP="007D2A08">
      <w:pPr>
        <w:spacing w:after="0" w:line="240" w:lineRule="auto"/>
      </w:pPr>
      <w:r>
        <w:separator/>
      </w:r>
    </w:p>
  </w:footnote>
  <w:footnote w:type="continuationSeparator" w:id="0">
    <w:p w14:paraId="402D44A3" w14:textId="77777777" w:rsidR="00095A8B" w:rsidRDefault="00095A8B" w:rsidP="007D2A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231C29" w14:textId="2E09977A" w:rsidR="007D2A08" w:rsidRPr="007D2A08" w:rsidRDefault="007D2A08">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Surname </w:t>
    </w:r>
    <w:r w:rsidRPr="007D2A08">
      <w:rPr>
        <w:rFonts w:ascii="Times New Roman" w:hAnsi="Times New Roman" w:cs="Times New Roman"/>
        <w:sz w:val="24"/>
        <w:szCs w:val="24"/>
      </w:rPr>
      <w:fldChar w:fldCharType="begin"/>
    </w:r>
    <w:r w:rsidRPr="007D2A08">
      <w:rPr>
        <w:rFonts w:ascii="Times New Roman" w:hAnsi="Times New Roman" w:cs="Times New Roman"/>
        <w:sz w:val="24"/>
        <w:szCs w:val="24"/>
      </w:rPr>
      <w:instrText xml:space="preserve"> PAGE   \* MERGEFORMAT </w:instrText>
    </w:r>
    <w:r w:rsidRPr="007D2A08">
      <w:rPr>
        <w:rFonts w:ascii="Times New Roman" w:hAnsi="Times New Roman" w:cs="Times New Roman"/>
        <w:sz w:val="24"/>
        <w:szCs w:val="24"/>
      </w:rPr>
      <w:fldChar w:fldCharType="separate"/>
    </w:r>
    <w:r w:rsidRPr="007D2A08">
      <w:rPr>
        <w:rFonts w:ascii="Times New Roman" w:hAnsi="Times New Roman" w:cs="Times New Roman"/>
        <w:noProof/>
        <w:sz w:val="24"/>
        <w:szCs w:val="24"/>
      </w:rPr>
      <w:t>1</w:t>
    </w:r>
    <w:r w:rsidRPr="007D2A0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122"/>
    <w:rsid w:val="00003431"/>
    <w:rsid w:val="00011E4D"/>
    <w:rsid w:val="00015451"/>
    <w:rsid w:val="00034C14"/>
    <w:rsid w:val="0003768D"/>
    <w:rsid w:val="00040320"/>
    <w:rsid w:val="000502DA"/>
    <w:rsid w:val="000527D8"/>
    <w:rsid w:val="00087192"/>
    <w:rsid w:val="00094F61"/>
    <w:rsid w:val="00095A8B"/>
    <w:rsid w:val="000A1EF3"/>
    <w:rsid w:val="000A7434"/>
    <w:rsid w:val="000B6AB9"/>
    <w:rsid w:val="000C000C"/>
    <w:rsid w:val="000C04B0"/>
    <w:rsid w:val="000C205E"/>
    <w:rsid w:val="000C3904"/>
    <w:rsid w:val="000D1CED"/>
    <w:rsid w:val="000D25F8"/>
    <w:rsid w:val="001005B2"/>
    <w:rsid w:val="00105C30"/>
    <w:rsid w:val="00112002"/>
    <w:rsid w:val="00112F85"/>
    <w:rsid w:val="001166EE"/>
    <w:rsid w:val="00123929"/>
    <w:rsid w:val="0013179D"/>
    <w:rsid w:val="001317F9"/>
    <w:rsid w:val="001322CD"/>
    <w:rsid w:val="001330F6"/>
    <w:rsid w:val="001517F1"/>
    <w:rsid w:val="001747C2"/>
    <w:rsid w:val="001778CA"/>
    <w:rsid w:val="001914F1"/>
    <w:rsid w:val="00197740"/>
    <w:rsid w:val="001A3605"/>
    <w:rsid w:val="001B2426"/>
    <w:rsid w:val="001B2A7F"/>
    <w:rsid w:val="001B57B8"/>
    <w:rsid w:val="001E2308"/>
    <w:rsid w:val="001E760D"/>
    <w:rsid w:val="001F0255"/>
    <w:rsid w:val="001F6561"/>
    <w:rsid w:val="00211FBC"/>
    <w:rsid w:val="00230B07"/>
    <w:rsid w:val="00242E42"/>
    <w:rsid w:val="00246BE9"/>
    <w:rsid w:val="002540F2"/>
    <w:rsid w:val="00264420"/>
    <w:rsid w:val="00276D49"/>
    <w:rsid w:val="002C7899"/>
    <w:rsid w:val="002E75A4"/>
    <w:rsid w:val="002F1E34"/>
    <w:rsid w:val="00302A7C"/>
    <w:rsid w:val="00303932"/>
    <w:rsid w:val="00323A6C"/>
    <w:rsid w:val="003320D8"/>
    <w:rsid w:val="00332E37"/>
    <w:rsid w:val="0034623C"/>
    <w:rsid w:val="00365F6D"/>
    <w:rsid w:val="00376F68"/>
    <w:rsid w:val="003C6054"/>
    <w:rsid w:val="003C730B"/>
    <w:rsid w:val="003D1AD6"/>
    <w:rsid w:val="003E4088"/>
    <w:rsid w:val="003E70F3"/>
    <w:rsid w:val="003F4F8B"/>
    <w:rsid w:val="00424001"/>
    <w:rsid w:val="00425F52"/>
    <w:rsid w:val="004303F6"/>
    <w:rsid w:val="00433F6F"/>
    <w:rsid w:val="004352F5"/>
    <w:rsid w:val="00441CDB"/>
    <w:rsid w:val="004552BD"/>
    <w:rsid w:val="004663EB"/>
    <w:rsid w:val="00477AEF"/>
    <w:rsid w:val="004800D1"/>
    <w:rsid w:val="00494E8F"/>
    <w:rsid w:val="004A18E8"/>
    <w:rsid w:val="004A679D"/>
    <w:rsid w:val="004B6FCA"/>
    <w:rsid w:val="004B7D38"/>
    <w:rsid w:val="004D5406"/>
    <w:rsid w:val="005070D9"/>
    <w:rsid w:val="00517337"/>
    <w:rsid w:val="00537E1C"/>
    <w:rsid w:val="00542EA7"/>
    <w:rsid w:val="005449A1"/>
    <w:rsid w:val="00546F63"/>
    <w:rsid w:val="00555FA8"/>
    <w:rsid w:val="00580F8D"/>
    <w:rsid w:val="005859B0"/>
    <w:rsid w:val="005B45CA"/>
    <w:rsid w:val="005C11AB"/>
    <w:rsid w:val="005D75D1"/>
    <w:rsid w:val="005F1615"/>
    <w:rsid w:val="005F565E"/>
    <w:rsid w:val="005F6799"/>
    <w:rsid w:val="00604ECA"/>
    <w:rsid w:val="006266C8"/>
    <w:rsid w:val="00631162"/>
    <w:rsid w:val="00636BFF"/>
    <w:rsid w:val="0064200A"/>
    <w:rsid w:val="00663630"/>
    <w:rsid w:val="00664F36"/>
    <w:rsid w:val="006842A5"/>
    <w:rsid w:val="00693C51"/>
    <w:rsid w:val="00695F60"/>
    <w:rsid w:val="0069612F"/>
    <w:rsid w:val="006B3BF7"/>
    <w:rsid w:val="006C3412"/>
    <w:rsid w:val="006D63F6"/>
    <w:rsid w:val="006F068C"/>
    <w:rsid w:val="00703E1D"/>
    <w:rsid w:val="0070773C"/>
    <w:rsid w:val="00724D79"/>
    <w:rsid w:val="00726CD3"/>
    <w:rsid w:val="00726CE7"/>
    <w:rsid w:val="00731E5A"/>
    <w:rsid w:val="007355AF"/>
    <w:rsid w:val="00747134"/>
    <w:rsid w:val="00763F23"/>
    <w:rsid w:val="007775F0"/>
    <w:rsid w:val="007859F9"/>
    <w:rsid w:val="00791B8F"/>
    <w:rsid w:val="007A50BB"/>
    <w:rsid w:val="007B3864"/>
    <w:rsid w:val="007D084F"/>
    <w:rsid w:val="007D2A08"/>
    <w:rsid w:val="007D4171"/>
    <w:rsid w:val="007F7346"/>
    <w:rsid w:val="00825744"/>
    <w:rsid w:val="0083609F"/>
    <w:rsid w:val="00836611"/>
    <w:rsid w:val="008524D5"/>
    <w:rsid w:val="00853AE4"/>
    <w:rsid w:val="00855853"/>
    <w:rsid w:val="008624BE"/>
    <w:rsid w:val="00863DF1"/>
    <w:rsid w:val="00885894"/>
    <w:rsid w:val="008A3A5C"/>
    <w:rsid w:val="008B490B"/>
    <w:rsid w:val="008B6602"/>
    <w:rsid w:val="008C2E68"/>
    <w:rsid w:val="008D2F79"/>
    <w:rsid w:val="008D6DC9"/>
    <w:rsid w:val="008F5658"/>
    <w:rsid w:val="00906D19"/>
    <w:rsid w:val="00914DC6"/>
    <w:rsid w:val="00915805"/>
    <w:rsid w:val="00924F83"/>
    <w:rsid w:val="009376FF"/>
    <w:rsid w:val="00947683"/>
    <w:rsid w:val="0095096F"/>
    <w:rsid w:val="00966354"/>
    <w:rsid w:val="009833B4"/>
    <w:rsid w:val="009877BA"/>
    <w:rsid w:val="009A1435"/>
    <w:rsid w:val="009C5359"/>
    <w:rsid w:val="009D0884"/>
    <w:rsid w:val="009D11A4"/>
    <w:rsid w:val="009D4109"/>
    <w:rsid w:val="009D5D5B"/>
    <w:rsid w:val="009F3AF7"/>
    <w:rsid w:val="00A15AEE"/>
    <w:rsid w:val="00A21E99"/>
    <w:rsid w:val="00A348B0"/>
    <w:rsid w:val="00A426A9"/>
    <w:rsid w:val="00A51252"/>
    <w:rsid w:val="00A534D6"/>
    <w:rsid w:val="00A54E51"/>
    <w:rsid w:val="00A63743"/>
    <w:rsid w:val="00A672DF"/>
    <w:rsid w:val="00A74C7C"/>
    <w:rsid w:val="00A752CE"/>
    <w:rsid w:val="00A80DCD"/>
    <w:rsid w:val="00A816F8"/>
    <w:rsid w:val="00A90886"/>
    <w:rsid w:val="00AB5A46"/>
    <w:rsid w:val="00AC1A27"/>
    <w:rsid w:val="00AE0142"/>
    <w:rsid w:val="00B3527F"/>
    <w:rsid w:val="00B3667A"/>
    <w:rsid w:val="00B42935"/>
    <w:rsid w:val="00B460D0"/>
    <w:rsid w:val="00B85B4F"/>
    <w:rsid w:val="00B92649"/>
    <w:rsid w:val="00BA043F"/>
    <w:rsid w:val="00BA0C3A"/>
    <w:rsid w:val="00BA79D1"/>
    <w:rsid w:val="00BB0400"/>
    <w:rsid w:val="00BC1710"/>
    <w:rsid w:val="00BC4409"/>
    <w:rsid w:val="00BC4996"/>
    <w:rsid w:val="00BE1ED6"/>
    <w:rsid w:val="00BE275E"/>
    <w:rsid w:val="00C02BF2"/>
    <w:rsid w:val="00C20FFB"/>
    <w:rsid w:val="00C23D7A"/>
    <w:rsid w:val="00C26417"/>
    <w:rsid w:val="00C30C29"/>
    <w:rsid w:val="00C41DA9"/>
    <w:rsid w:val="00C52F23"/>
    <w:rsid w:val="00C624DA"/>
    <w:rsid w:val="00C6394A"/>
    <w:rsid w:val="00C723B5"/>
    <w:rsid w:val="00C920FD"/>
    <w:rsid w:val="00C9230A"/>
    <w:rsid w:val="00C933AB"/>
    <w:rsid w:val="00CB7210"/>
    <w:rsid w:val="00CD0979"/>
    <w:rsid w:val="00CD1AA3"/>
    <w:rsid w:val="00CD2FE8"/>
    <w:rsid w:val="00CD4ACC"/>
    <w:rsid w:val="00CE46E7"/>
    <w:rsid w:val="00D31515"/>
    <w:rsid w:val="00D3334B"/>
    <w:rsid w:val="00D64B97"/>
    <w:rsid w:val="00D661F4"/>
    <w:rsid w:val="00D667E9"/>
    <w:rsid w:val="00D67F8D"/>
    <w:rsid w:val="00D77FB7"/>
    <w:rsid w:val="00D83235"/>
    <w:rsid w:val="00D86AB5"/>
    <w:rsid w:val="00D916A4"/>
    <w:rsid w:val="00D93C76"/>
    <w:rsid w:val="00D95047"/>
    <w:rsid w:val="00DA027B"/>
    <w:rsid w:val="00DA39A6"/>
    <w:rsid w:val="00DA606E"/>
    <w:rsid w:val="00DA66EB"/>
    <w:rsid w:val="00DD3BB3"/>
    <w:rsid w:val="00E2054D"/>
    <w:rsid w:val="00E2066F"/>
    <w:rsid w:val="00E22078"/>
    <w:rsid w:val="00E35F22"/>
    <w:rsid w:val="00E73010"/>
    <w:rsid w:val="00E750B2"/>
    <w:rsid w:val="00E824C1"/>
    <w:rsid w:val="00E9534C"/>
    <w:rsid w:val="00E95496"/>
    <w:rsid w:val="00E965C4"/>
    <w:rsid w:val="00E97498"/>
    <w:rsid w:val="00EB4BC3"/>
    <w:rsid w:val="00EC0402"/>
    <w:rsid w:val="00ED4E88"/>
    <w:rsid w:val="00ED607C"/>
    <w:rsid w:val="00EE2F19"/>
    <w:rsid w:val="00EF457C"/>
    <w:rsid w:val="00EF56E7"/>
    <w:rsid w:val="00F01817"/>
    <w:rsid w:val="00F119E8"/>
    <w:rsid w:val="00F31A3C"/>
    <w:rsid w:val="00F366FE"/>
    <w:rsid w:val="00F43133"/>
    <w:rsid w:val="00F4622B"/>
    <w:rsid w:val="00F47CB6"/>
    <w:rsid w:val="00F54D7B"/>
    <w:rsid w:val="00F56122"/>
    <w:rsid w:val="00F5795B"/>
    <w:rsid w:val="00F7461C"/>
    <w:rsid w:val="00F80134"/>
    <w:rsid w:val="00F80515"/>
    <w:rsid w:val="00F84A90"/>
    <w:rsid w:val="00F97868"/>
    <w:rsid w:val="00FA728C"/>
    <w:rsid w:val="00FA7621"/>
    <w:rsid w:val="00FB7C96"/>
    <w:rsid w:val="00FC6161"/>
    <w:rsid w:val="00FD5DDE"/>
    <w:rsid w:val="00FD79D5"/>
    <w:rsid w:val="00FE5537"/>
    <w:rsid w:val="00FE5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1FA5E"/>
  <w15:chartTrackingRefBased/>
  <w15:docId w15:val="{5A34D3B5-65A3-4D19-8258-9EED4E24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B3527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3527F"/>
    <w:rPr>
      <w:color w:val="0000FF"/>
      <w:u w:val="single"/>
    </w:rPr>
  </w:style>
  <w:style w:type="paragraph" w:styleId="Header">
    <w:name w:val="header"/>
    <w:basedOn w:val="Normal"/>
    <w:link w:val="HeaderChar"/>
    <w:uiPriority w:val="99"/>
    <w:unhideWhenUsed/>
    <w:rsid w:val="007D2A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2A08"/>
  </w:style>
  <w:style w:type="paragraph" w:styleId="Footer">
    <w:name w:val="footer"/>
    <w:basedOn w:val="Normal"/>
    <w:link w:val="FooterChar"/>
    <w:uiPriority w:val="99"/>
    <w:unhideWhenUsed/>
    <w:rsid w:val="007D2A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2A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9025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463</TotalTime>
  <Pages>6</Pages>
  <Words>1333</Words>
  <Characters>7599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511</cp:revision>
  <dcterms:created xsi:type="dcterms:W3CDTF">2020-09-17T05:59:00Z</dcterms:created>
  <dcterms:modified xsi:type="dcterms:W3CDTF">2020-09-17T13:52:00Z</dcterms:modified>
</cp:coreProperties>
</file>